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D1103" w14:textId="500273F7" w:rsidR="00B956DF" w:rsidRPr="00B956DF" w:rsidRDefault="00B956DF" w:rsidP="00B956DF">
      <w:pPr>
        <w:tabs>
          <w:tab w:val="center" w:pos="4536"/>
          <w:tab w:val="right" w:pos="7938"/>
          <w:tab w:val="right" w:pos="9639"/>
        </w:tabs>
        <w:overflowPunct/>
        <w:autoSpaceDE/>
        <w:autoSpaceDN/>
        <w:adjustRightInd/>
        <w:spacing w:after="0"/>
        <w:ind w:right="2"/>
        <w:textAlignment w:val="auto"/>
        <w:rPr>
          <w:rFonts w:ascii="Arial" w:eastAsia="Malgun Gothic" w:hAnsi="Arial" w:cs="Arial"/>
          <w:b/>
          <w:bCs/>
          <w:sz w:val="24"/>
          <w:szCs w:val="22"/>
          <w:lang w:val="en-US" w:eastAsia="zh-CN"/>
        </w:rPr>
      </w:pPr>
      <w:r w:rsidRPr="00B956DF">
        <w:rPr>
          <w:rFonts w:ascii="Arial" w:eastAsia="Malgun Gothic" w:hAnsi="Arial" w:cs="Arial"/>
          <w:b/>
          <w:bCs/>
          <w:sz w:val="24"/>
          <w:szCs w:val="22"/>
          <w:lang w:val="en-US" w:eastAsia="zh-CN"/>
        </w:rPr>
        <w:t>3GPP TSG RAN WG1 #112</w:t>
      </w:r>
      <w:r w:rsidR="006D5148">
        <w:rPr>
          <w:rFonts w:ascii="Arial" w:eastAsia="Malgun Gothic" w:hAnsi="Arial" w:cs="Arial"/>
          <w:b/>
          <w:bCs/>
          <w:sz w:val="24"/>
          <w:szCs w:val="22"/>
          <w:lang w:val="en-US" w:eastAsia="zh-CN"/>
        </w:rPr>
        <w:t>bis-e</w:t>
      </w:r>
      <w:r w:rsidRPr="00B956DF">
        <w:rPr>
          <w:rFonts w:ascii="Arial" w:eastAsia="Malgun Gothic" w:hAnsi="Arial" w:cs="Arial"/>
          <w:b/>
          <w:bCs/>
          <w:sz w:val="24"/>
          <w:szCs w:val="22"/>
          <w:lang w:val="en-US" w:eastAsia="zh-CN"/>
        </w:rPr>
        <w:tab/>
      </w:r>
      <w:r w:rsidRPr="00B956DF">
        <w:rPr>
          <w:rFonts w:ascii="Arial" w:eastAsia="Malgun Gothic" w:hAnsi="Arial" w:cs="Arial"/>
          <w:b/>
          <w:bCs/>
          <w:sz w:val="24"/>
          <w:szCs w:val="22"/>
          <w:lang w:val="en-US" w:eastAsia="zh-CN"/>
        </w:rPr>
        <w:tab/>
      </w:r>
      <w:r w:rsidRPr="00B956DF">
        <w:rPr>
          <w:rFonts w:ascii="Arial" w:eastAsia="Malgun Gothic" w:hAnsi="Arial" w:cs="Arial"/>
          <w:b/>
          <w:bCs/>
          <w:sz w:val="24"/>
          <w:szCs w:val="22"/>
          <w:lang w:val="en-US" w:eastAsia="zh-CN"/>
        </w:rPr>
        <w:tab/>
      </w:r>
      <w:r w:rsidRPr="006C58C5">
        <w:rPr>
          <w:rFonts w:ascii="Arial" w:eastAsia="Malgun Gothic" w:hAnsi="Arial" w:cs="Arial"/>
          <w:b/>
          <w:bCs/>
          <w:sz w:val="24"/>
          <w:szCs w:val="22"/>
          <w:lang w:val="en-US" w:eastAsia="zh-CN"/>
        </w:rPr>
        <w:t>R1-230</w:t>
      </w:r>
      <w:r w:rsidR="006C58C5" w:rsidRPr="006C58C5">
        <w:rPr>
          <w:rFonts w:ascii="Arial" w:eastAsia="Malgun Gothic" w:hAnsi="Arial" w:cs="Arial"/>
          <w:b/>
          <w:bCs/>
          <w:sz w:val="24"/>
          <w:szCs w:val="22"/>
          <w:lang w:val="en-US" w:eastAsia="zh-CN"/>
        </w:rPr>
        <w:t>346</w:t>
      </w:r>
      <w:r w:rsidR="006C58C5">
        <w:rPr>
          <w:rFonts w:ascii="Arial" w:eastAsia="Malgun Gothic" w:hAnsi="Arial" w:cs="Arial"/>
          <w:b/>
          <w:bCs/>
          <w:sz w:val="24"/>
          <w:szCs w:val="22"/>
          <w:lang w:val="en-US" w:eastAsia="zh-CN"/>
        </w:rPr>
        <w:t>3</w:t>
      </w:r>
    </w:p>
    <w:p w14:paraId="26C26AA5" w14:textId="06186A8A" w:rsidR="00B956DF" w:rsidRPr="00B956DF" w:rsidRDefault="006D5148" w:rsidP="00B956DF">
      <w:pPr>
        <w:tabs>
          <w:tab w:val="center" w:pos="4536"/>
          <w:tab w:val="right" w:pos="9072"/>
        </w:tabs>
        <w:overflowPunct/>
        <w:autoSpaceDE/>
        <w:autoSpaceDN/>
        <w:adjustRightInd/>
        <w:spacing w:after="0"/>
        <w:textAlignment w:val="auto"/>
        <w:rPr>
          <w:rFonts w:ascii="Arial" w:eastAsia="MS Mincho" w:hAnsi="Arial" w:cs="Arial"/>
          <w:b/>
          <w:bCs/>
          <w:sz w:val="24"/>
          <w:szCs w:val="22"/>
          <w:lang w:val="en-US" w:eastAsia="ja-JP"/>
        </w:rPr>
      </w:pPr>
      <w:r>
        <w:rPr>
          <w:rFonts w:ascii="Arial" w:eastAsia="MS Mincho" w:hAnsi="Arial" w:cs="Arial"/>
          <w:b/>
          <w:bCs/>
          <w:sz w:val="24"/>
          <w:szCs w:val="22"/>
          <w:lang w:val="en-US" w:eastAsia="ja-JP"/>
        </w:rPr>
        <w:t>e-Meeting</w:t>
      </w:r>
      <w:r w:rsidR="00B956DF" w:rsidRPr="00B956DF">
        <w:rPr>
          <w:rFonts w:ascii="Arial" w:eastAsia="MS Mincho" w:hAnsi="Arial" w:cs="Arial"/>
          <w:b/>
          <w:bCs/>
          <w:sz w:val="24"/>
          <w:szCs w:val="22"/>
          <w:lang w:val="en-US" w:eastAsia="ja-JP"/>
        </w:rPr>
        <w:t xml:space="preserve">, </w:t>
      </w:r>
      <w:r>
        <w:rPr>
          <w:rFonts w:ascii="Arial" w:eastAsia="MS Mincho" w:hAnsi="Arial" w:cs="Arial"/>
          <w:b/>
          <w:bCs/>
          <w:sz w:val="24"/>
          <w:szCs w:val="22"/>
          <w:lang w:val="en-US" w:eastAsia="ja-JP"/>
        </w:rPr>
        <w:t>April</w:t>
      </w:r>
      <w:r w:rsidR="00B956DF" w:rsidRPr="00B956DF">
        <w:rPr>
          <w:rFonts w:ascii="Arial" w:eastAsia="MS Mincho" w:hAnsi="Arial" w:cs="Arial"/>
          <w:b/>
          <w:bCs/>
          <w:sz w:val="24"/>
          <w:szCs w:val="22"/>
          <w:lang w:val="en-US" w:eastAsia="ja-JP"/>
        </w:rPr>
        <w:t xml:space="preserve"> </w:t>
      </w:r>
      <w:r>
        <w:rPr>
          <w:rFonts w:ascii="Arial" w:eastAsia="MS Mincho" w:hAnsi="Arial" w:cs="Arial"/>
          <w:b/>
          <w:bCs/>
          <w:sz w:val="24"/>
          <w:szCs w:val="22"/>
          <w:lang w:val="en-US" w:eastAsia="ja-JP"/>
        </w:rPr>
        <w:t>1</w:t>
      </w:r>
      <w:r w:rsidR="00B956DF" w:rsidRPr="00B956DF">
        <w:rPr>
          <w:rFonts w:ascii="Arial" w:eastAsia="MS Mincho" w:hAnsi="Arial" w:cs="Arial"/>
          <w:b/>
          <w:bCs/>
          <w:sz w:val="24"/>
          <w:szCs w:val="22"/>
          <w:lang w:val="en-US" w:eastAsia="ja-JP"/>
        </w:rPr>
        <w:t>7</w:t>
      </w:r>
      <w:r w:rsidR="00B956DF" w:rsidRPr="00B956DF">
        <w:rPr>
          <w:rFonts w:ascii="Arial" w:eastAsia="MS Mincho" w:hAnsi="Arial" w:cs="Arial"/>
          <w:b/>
          <w:bCs/>
          <w:sz w:val="24"/>
          <w:szCs w:val="22"/>
          <w:vertAlign w:val="superscript"/>
          <w:lang w:val="en-US" w:eastAsia="ja-JP"/>
        </w:rPr>
        <w:t>th</w:t>
      </w:r>
      <w:r w:rsidR="00B956DF" w:rsidRPr="00B956DF">
        <w:rPr>
          <w:rFonts w:ascii="Arial" w:eastAsia="MS Mincho" w:hAnsi="Arial" w:cs="Arial"/>
          <w:b/>
          <w:bCs/>
          <w:sz w:val="24"/>
          <w:szCs w:val="22"/>
          <w:lang w:val="en-US" w:eastAsia="ja-JP"/>
        </w:rPr>
        <w:t xml:space="preserve"> – </w:t>
      </w:r>
      <w:r>
        <w:rPr>
          <w:rFonts w:ascii="Arial" w:eastAsia="MS Mincho" w:hAnsi="Arial" w:cs="Arial"/>
          <w:b/>
          <w:bCs/>
          <w:sz w:val="24"/>
          <w:szCs w:val="22"/>
          <w:lang w:val="en-US" w:eastAsia="ja-JP"/>
        </w:rPr>
        <w:t>April</w:t>
      </w:r>
      <w:r w:rsidR="00B956DF" w:rsidRPr="00B956DF">
        <w:rPr>
          <w:rFonts w:ascii="Arial" w:eastAsia="MS Mincho" w:hAnsi="Arial" w:cs="Arial"/>
          <w:b/>
          <w:bCs/>
          <w:sz w:val="24"/>
          <w:szCs w:val="22"/>
          <w:lang w:val="en-US" w:eastAsia="ja-JP"/>
        </w:rPr>
        <w:t xml:space="preserve"> </w:t>
      </w:r>
      <w:r>
        <w:rPr>
          <w:rFonts w:ascii="Arial" w:eastAsia="MS Mincho" w:hAnsi="Arial" w:cs="Arial"/>
          <w:b/>
          <w:bCs/>
          <w:sz w:val="24"/>
          <w:szCs w:val="22"/>
          <w:lang w:val="en-US" w:eastAsia="ja-JP"/>
        </w:rPr>
        <w:t>26</w:t>
      </w:r>
      <w:r>
        <w:rPr>
          <w:rFonts w:ascii="Arial" w:eastAsia="MS Mincho" w:hAnsi="Arial" w:cs="Arial"/>
          <w:b/>
          <w:bCs/>
          <w:sz w:val="24"/>
          <w:szCs w:val="22"/>
          <w:vertAlign w:val="superscript"/>
          <w:lang w:val="en-US" w:eastAsia="ja-JP"/>
        </w:rPr>
        <w:t>th</w:t>
      </w:r>
      <w:r w:rsidR="00B956DF" w:rsidRPr="00B956DF">
        <w:rPr>
          <w:rFonts w:ascii="Arial" w:eastAsia="MS Mincho" w:hAnsi="Arial" w:cs="Arial"/>
          <w:b/>
          <w:bCs/>
          <w:sz w:val="24"/>
          <w:szCs w:val="22"/>
          <w:lang w:val="en-US" w:eastAsia="ja-JP"/>
        </w:rPr>
        <w:t>, 2023</w:t>
      </w:r>
    </w:p>
    <w:p w14:paraId="2CFE1919" w14:textId="75F6DC2F" w:rsidR="00850D96" w:rsidRPr="00B956DF" w:rsidRDefault="00850D96" w:rsidP="00CA26CE">
      <w:pPr>
        <w:pStyle w:val="Header"/>
        <w:rPr>
          <w:rFonts w:ascii="Times New Roman" w:hAnsi="Times New Roman"/>
          <w:bCs/>
          <w:noProof w:val="0"/>
          <w:sz w:val="24"/>
          <w:lang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01B7E246" w:rsidR="00390F36" w:rsidRPr="00CE30E7" w:rsidRDefault="00390F36" w:rsidP="00D0610F">
      <w:pPr>
        <w:pStyle w:val="3GPPHeader"/>
        <w:ind w:left="1700" w:hanging="1700"/>
        <w:jc w:val="both"/>
      </w:pPr>
      <w:r w:rsidRPr="00CE30E7">
        <w:t>Title:</w:t>
      </w:r>
      <w:r w:rsidRPr="00CE30E7">
        <w:tab/>
      </w:r>
      <w:r w:rsidRPr="007A0A4F">
        <w:t xml:space="preserve">Discussion on </w:t>
      </w:r>
      <w:r>
        <w:t>RAN</w:t>
      </w:r>
      <w:r w:rsidR="00AA539C">
        <w:t>4</w:t>
      </w:r>
      <w:r>
        <w:t xml:space="preserve"> </w:t>
      </w:r>
      <w:r w:rsidRPr="007A0A4F">
        <w:t xml:space="preserve">LS on </w:t>
      </w:r>
      <w:r w:rsidR="00AA539C">
        <w:t>Co-channel Coexistence</w:t>
      </w:r>
      <w:r w:rsidR="002C3195">
        <w:t xml:space="preserve"> </w:t>
      </w:r>
      <w:r>
        <w:t xml:space="preserve"> </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1A0BE2A8" w14:textId="25CBF425" w:rsidR="002C3195" w:rsidRPr="00F2263B" w:rsidRDefault="008E4BD2" w:rsidP="00601729">
      <w:pPr>
        <w:jc w:val="both"/>
        <w:rPr>
          <w:sz w:val="24"/>
          <w:szCs w:val="24"/>
        </w:rPr>
      </w:pPr>
      <w:r w:rsidRPr="00601729">
        <w:rPr>
          <w:sz w:val="24"/>
          <w:szCs w:val="24"/>
        </w:rPr>
        <w:t>RAN</w:t>
      </w:r>
      <w:r w:rsidR="00AA539C">
        <w:rPr>
          <w:sz w:val="24"/>
          <w:szCs w:val="24"/>
        </w:rPr>
        <w:t>4</w:t>
      </w:r>
      <w:r w:rsidRPr="00601729">
        <w:rPr>
          <w:sz w:val="24"/>
          <w:szCs w:val="24"/>
        </w:rPr>
        <w:t xml:space="preserve"> sent a</w:t>
      </w:r>
      <w:r w:rsidR="00AA539C">
        <w:rPr>
          <w:sz w:val="24"/>
          <w:szCs w:val="24"/>
        </w:rPr>
        <w:t>n</w:t>
      </w:r>
      <w:r w:rsidR="00B956DF">
        <w:rPr>
          <w:sz w:val="24"/>
          <w:szCs w:val="24"/>
        </w:rPr>
        <w:t xml:space="preserve"> </w:t>
      </w:r>
      <w:r w:rsidRPr="00601729">
        <w:rPr>
          <w:sz w:val="24"/>
          <w:szCs w:val="24"/>
        </w:rPr>
        <w:t xml:space="preserve">LS on </w:t>
      </w:r>
      <w:r w:rsidR="006D5148">
        <w:rPr>
          <w:sz w:val="24"/>
          <w:szCs w:val="24"/>
        </w:rPr>
        <w:t>co</w:t>
      </w:r>
      <w:r w:rsidR="00AA539C">
        <w:rPr>
          <w:sz w:val="24"/>
          <w:szCs w:val="24"/>
        </w:rPr>
        <w:t xml:space="preserve">-channel coexistence for LTE sidelink and NR sidelink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8168C2">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AA539C">
        <w:rPr>
          <w:sz w:val="24"/>
          <w:szCs w:val="24"/>
        </w:rPr>
        <w:t xml:space="preserve">it is mentioned that RAN4 will study the LTE sidelink and NR sidelink co-channel coexistence scenarios only the case where LTE sidelink and NR sidelink transmit via TDM manner but could receive simultaneously in the same channel for a single UE. Whether RAN4 will </w:t>
      </w:r>
      <w:proofErr w:type="spellStart"/>
      <w:r w:rsidR="00AA539C">
        <w:rPr>
          <w:sz w:val="24"/>
          <w:szCs w:val="24"/>
        </w:rPr>
        <w:t>specifiy</w:t>
      </w:r>
      <w:proofErr w:type="spellEnd"/>
      <w:r w:rsidR="00AA539C">
        <w:rPr>
          <w:sz w:val="24"/>
          <w:szCs w:val="24"/>
        </w:rPr>
        <w:t xml:space="preserve"> the corresponding requirements and requirements for other possible scenarios depends on the study outcome and further inputs from RAN1 and RAN2. </w:t>
      </w:r>
    </w:p>
    <w:p w14:paraId="7DF5F9CE" w14:textId="7E9D6C52" w:rsidR="007E2446" w:rsidRPr="00601729" w:rsidRDefault="008E4BD2" w:rsidP="00601729">
      <w:pPr>
        <w:jc w:val="both"/>
        <w:rPr>
          <w:rFonts w:eastAsia="PMingLiU"/>
          <w:sz w:val="24"/>
          <w:szCs w:val="24"/>
          <w:lang w:eastAsia="zh-TW"/>
        </w:rPr>
      </w:pPr>
      <w:r w:rsidRPr="00601729">
        <w:rPr>
          <w:sz w:val="24"/>
          <w:szCs w:val="24"/>
          <w:lang w:eastAsia="x-none"/>
        </w:rPr>
        <w:t>In this c</w:t>
      </w:r>
      <w:r w:rsidR="00B956DF">
        <w:rPr>
          <w:sz w:val="24"/>
          <w:szCs w:val="24"/>
          <w:lang w:eastAsia="x-none"/>
        </w:rPr>
        <w:t>o</w:t>
      </w:r>
      <w:r w:rsidRPr="00601729">
        <w:rPr>
          <w:sz w:val="24"/>
          <w:szCs w:val="24"/>
          <w:lang w:eastAsia="x-none"/>
        </w:rPr>
        <w:t>ntribution, we discuss</w:t>
      </w:r>
      <w:r w:rsidR="00AA539C">
        <w:rPr>
          <w:sz w:val="24"/>
          <w:szCs w:val="24"/>
          <w:lang w:eastAsia="x-none"/>
        </w:rPr>
        <w:t xml:space="preserve"> the scenarios of co-channel coexistence for LTE sidelink and NR sidelink</w:t>
      </w:r>
      <w:r w:rsidR="00601729" w:rsidRPr="00601729">
        <w:rPr>
          <w:rFonts w:eastAsiaTheme="minorEastAsia"/>
          <w:sz w:val="24"/>
          <w:szCs w:val="24"/>
        </w:rPr>
        <w:t xml:space="preserve">. </w:t>
      </w:r>
      <w:r w:rsidRPr="00601729">
        <w:rPr>
          <w:rFonts w:eastAsia="PMingLiU"/>
          <w:sz w:val="24"/>
          <w:szCs w:val="24"/>
          <w:lang w:eastAsia="zh-TW"/>
        </w:rPr>
        <w:t xml:space="preserve"> </w:t>
      </w:r>
    </w:p>
    <w:p w14:paraId="691B73BE" w14:textId="1497A29B" w:rsidR="00390F36" w:rsidRDefault="00390F36" w:rsidP="00390F36">
      <w:pPr>
        <w:pStyle w:val="Heading1"/>
      </w:pPr>
      <w:r>
        <w:t>Discussion</w:t>
      </w:r>
    </w:p>
    <w:p w14:paraId="631D4CF5" w14:textId="723D9B89" w:rsidR="001252A8" w:rsidRDefault="00AA539C" w:rsidP="00601729">
      <w:pPr>
        <w:jc w:val="both"/>
        <w:rPr>
          <w:sz w:val="24"/>
          <w:szCs w:val="24"/>
        </w:rPr>
      </w:pPr>
      <w:r>
        <w:rPr>
          <w:sz w:val="24"/>
          <w:szCs w:val="24"/>
        </w:rPr>
        <w:t xml:space="preserve">In RAN1 work on co-channel coexistence for LTE sidelink and NR sidelink, </w:t>
      </w:r>
      <w:r w:rsidR="001252A8">
        <w:rPr>
          <w:sz w:val="24"/>
          <w:szCs w:val="24"/>
        </w:rPr>
        <w:t>two deployment scenarios are supported. The first one is TDM-based semi-static resource pool partitioning, where LTE sidelink resource pool and NR sidelink resource pool are (pre)configured such that there is no time overlap between the two resource pools. Clearly in this deployment scenario, a single UE transmits LTE sidelink and NR sidelink via TDM manner.</w:t>
      </w:r>
    </w:p>
    <w:p w14:paraId="7F5D641E" w14:textId="572725F5" w:rsidR="001252A8" w:rsidRDefault="001252A8" w:rsidP="00601729">
      <w:pPr>
        <w:jc w:val="both"/>
        <w:rPr>
          <w:sz w:val="24"/>
          <w:szCs w:val="24"/>
        </w:rPr>
      </w:pPr>
      <w:r>
        <w:rPr>
          <w:sz w:val="24"/>
          <w:szCs w:val="24"/>
        </w:rPr>
        <w:t xml:space="preserve">The second deployment scenario is dynamic resource pool sharing, where LTE sidelink resource pool and NR sidelink resource pool </w:t>
      </w:r>
      <w:proofErr w:type="gramStart"/>
      <w:r>
        <w:rPr>
          <w:sz w:val="24"/>
          <w:szCs w:val="24"/>
        </w:rPr>
        <w:t>share</w:t>
      </w:r>
      <w:proofErr w:type="gramEnd"/>
      <w:r>
        <w:rPr>
          <w:sz w:val="24"/>
          <w:szCs w:val="24"/>
        </w:rPr>
        <w:t xml:space="preserve"> the time and frequency resources. In this deployment scenario, it is assumed </w:t>
      </w:r>
      <w:r w:rsidR="00DE28BA">
        <w:rPr>
          <w:sz w:val="24"/>
          <w:szCs w:val="24"/>
        </w:rPr>
        <w:t xml:space="preserve">that a single UE cannot have </w:t>
      </w:r>
      <w:r>
        <w:rPr>
          <w:sz w:val="24"/>
          <w:szCs w:val="24"/>
        </w:rPr>
        <w:t xml:space="preserve">simultaneous LTE sidelink transmission and NR sidelink transmission. </w:t>
      </w:r>
      <w:r w:rsidR="008168C2">
        <w:rPr>
          <w:sz w:val="24"/>
          <w:szCs w:val="24"/>
        </w:rPr>
        <w:t xml:space="preserve">Specifically, </w:t>
      </w:r>
      <w:r w:rsidR="00DE28BA">
        <w:rPr>
          <w:sz w:val="24"/>
          <w:szCs w:val="24"/>
        </w:rPr>
        <w:t xml:space="preserve">the </w:t>
      </w:r>
      <w:proofErr w:type="gramStart"/>
      <w:r w:rsidR="008168C2">
        <w:rPr>
          <w:sz w:val="24"/>
          <w:szCs w:val="24"/>
        </w:rPr>
        <w:t xml:space="preserve">simultaneous </w:t>
      </w:r>
      <w:r w:rsidR="00DE28BA">
        <w:rPr>
          <w:sz w:val="24"/>
          <w:szCs w:val="24"/>
        </w:rPr>
        <w:t xml:space="preserve"> LTE</w:t>
      </w:r>
      <w:proofErr w:type="gramEnd"/>
      <w:r w:rsidR="00DE28BA">
        <w:rPr>
          <w:sz w:val="24"/>
          <w:szCs w:val="24"/>
        </w:rPr>
        <w:t xml:space="preserve"> sidelink transmission and NR sidelink transmission is avoided </w:t>
      </w:r>
      <w:r w:rsidR="008168C2">
        <w:rPr>
          <w:sz w:val="24"/>
          <w:szCs w:val="24"/>
        </w:rPr>
        <w:t xml:space="preserve">either via a modified </w:t>
      </w:r>
      <w:r w:rsidR="00DE28BA">
        <w:rPr>
          <w:sz w:val="24"/>
          <w:szCs w:val="24"/>
        </w:rPr>
        <w:t>NR sidelink resource selection procedure</w:t>
      </w:r>
      <w:r w:rsidR="008168C2">
        <w:rPr>
          <w:sz w:val="24"/>
          <w:szCs w:val="24"/>
        </w:rPr>
        <w:t xml:space="preserve"> or via applying </w:t>
      </w:r>
      <w:r w:rsidR="00DE28BA">
        <w:rPr>
          <w:sz w:val="24"/>
          <w:szCs w:val="24"/>
        </w:rPr>
        <w:t>in-device coexistence rule.</w:t>
      </w:r>
      <w:r w:rsidR="008168C2" w:rsidRPr="008168C2">
        <w:rPr>
          <w:sz w:val="24"/>
          <w:szCs w:val="24"/>
        </w:rPr>
        <w:t xml:space="preserve"> </w:t>
      </w:r>
      <w:r w:rsidR="008168C2">
        <w:rPr>
          <w:sz w:val="24"/>
          <w:szCs w:val="24"/>
        </w:rPr>
        <w:t>The down-selection between these two schemes is to be made in RAN1.</w:t>
      </w:r>
    </w:p>
    <w:p w14:paraId="38C25C27" w14:textId="47628BF9" w:rsidR="00DE28BA" w:rsidRDefault="00DE28BA" w:rsidP="00601729">
      <w:pPr>
        <w:jc w:val="both"/>
        <w:rPr>
          <w:sz w:val="24"/>
          <w:szCs w:val="24"/>
        </w:rPr>
      </w:pPr>
      <w:r>
        <w:rPr>
          <w:sz w:val="24"/>
          <w:szCs w:val="24"/>
        </w:rPr>
        <w:t>A Type A device has both NR sidelink module and LTE sidelink module</w:t>
      </w:r>
      <w:r w:rsidR="00A63C38">
        <w:rPr>
          <w:sz w:val="24"/>
          <w:szCs w:val="24"/>
        </w:rPr>
        <w:t xml:space="preserve">, which enables the simultaneous NR sidelink reception and LTE sidelink reception by this </w:t>
      </w:r>
      <w:proofErr w:type="spellStart"/>
      <w:r w:rsidR="00A63C38">
        <w:rPr>
          <w:sz w:val="24"/>
          <w:szCs w:val="24"/>
        </w:rPr>
        <w:t>detice</w:t>
      </w:r>
      <w:proofErr w:type="spellEnd"/>
      <w:r w:rsidR="00A63C38">
        <w:rPr>
          <w:sz w:val="24"/>
          <w:szCs w:val="24"/>
        </w:rPr>
        <w:t xml:space="preserve">. Although the </w:t>
      </w:r>
      <w:proofErr w:type="spellStart"/>
      <w:r w:rsidR="00A63C38">
        <w:rPr>
          <w:sz w:val="24"/>
          <w:szCs w:val="24"/>
        </w:rPr>
        <w:t>simultanesous</w:t>
      </w:r>
      <w:proofErr w:type="spellEnd"/>
      <w:r w:rsidR="00A63C38">
        <w:rPr>
          <w:sz w:val="24"/>
          <w:szCs w:val="24"/>
        </w:rPr>
        <w:t xml:space="preserve"> NR sidelink reception and LTE sidelink reception </w:t>
      </w:r>
      <w:r w:rsidR="008168C2">
        <w:rPr>
          <w:sz w:val="24"/>
          <w:szCs w:val="24"/>
        </w:rPr>
        <w:t>is not applicable</w:t>
      </w:r>
      <w:r w:rsidR="00A63C38">
        <w:rPr>
          <w:sz w:val="24"/>
          <w:szCs w:val="24"/>
        </w:rPr>
        <w:t xml:space="preserve"> for TDM-based semi-static resource pool partitioning, it does occur for dynamic resource pool sharing.</w:t>
      </w:r>
    </w:p>
    <w:p w14:paraId="61849B1A" w14:textId="60EEE20A" w:rsidR="007C56ED" w:rsidRDefault="00065258" w:rsidP="009A707D">
      <w:pPr>
        <w:jc w:val="both"/>
        <w:rPr>
          <w:sz w:val="24"/>
          <w:szCs w:val="24"/>
        </w:rPr>
      </w:pPr>
      <w:r>
        <w:rPr>
          <w:sz w:val="24"/>
          <w:szCs w:val="24"/>
        </w:rPr>
        <w:t>In</w:t>
      </w:r>
      <w:r w:rsidR="00DE28BA">
        <w:rPr>
          <w:sz w:val="24"/>
          <w:szCs w:val="24"/>
        </w:rPr>
        <w:t xml:space="preserve"> dynamic resource pool sharing</w:t>
      </w:r>
      <w:r>
        <w:rPr>
          <w:sz w:val="24"/>
          <w:szCs w:val="24"/>
        </w:rPr>
        <w:t xml:space="preserve"> for co-channel coexistence</w:t>
      </w:r>
      <w:r w:rsidR="00DE28BA">
        <w:rPr>
          <w:sz w:val="24"/>
          <w:szCs w:val="24"/>
        </w:rPr>
        <w:t xml:space="preserve">, </w:t>
      </w:r>
      <w:r w:rsidR="00A63C38">
        <w:rPr>
          <w:sz w:val="24"/>
          <w:szCs w:val="24"/>
        </w:rPr>
        <w:t>a (pre)configured</w:t>
      </w:r>
      <w:r w:rsidR="00DE28BA">
        <w:rPr>
          <w:sz w:val="24"/>
          <w:szCs w:val="24"/>
        </w:rPr>
        <w:t xml:space="preserve"> LTE sidelink resource pool</w:t>
      </w:r>
      <w:r w:rsidR="00A63C38">
        <w:rPr>
          <w:sz w:val="24"/>
          <w:szCs w:val="24"/>
        </w:rPr>
        <w:t xml:space="preserve"> and a (pre)configured NR sidelink resource pool do not always have exactly the same set of PRBs. It is possible that LTE sidelink resource pool and</w:t>
      </w:r>
      <w:r w:rsidR="008168C2">
        <w:rPr>
          <w:sz w:val="24"/>
          <w:szCs w:val="24"/>
        </w:rPr>
        <w:t xml:space="preserve"> </w:t>
      </w:r>
      <w:r w:rsidR="00A63C38">
        <w:rPr>
          <w:sz w:val="24"/>
          <w:szCs w:val="24"/>
        </w:rPr>
        <w:t xml:space="preserve">NR sidelink resource pool </w:t>
      </w:r>
      <w:proofErr w:type="gramStart"/>
      <w:r>
        <w:rPr>
          <w:sz w:val="24"/>
          <w:szCs w:val="24"/>
        </w:rPr>
        <w:t>are</w:t>
      </w:r>
      <w:proofErr w:type="gramEnd"/>
      <w:r w:rsidR="00A63C38">
        <w:rPr>
          <w:sz w:val="24"/>
          <w:szCs w:val="24"/>
        </w:rPr>
        <w:t xml:space="preserve"> partial</w:t>
      </w:r>
      <w:r>
        <w:rPr>
          <w:sz w:val="24"/>
          <w:szCs w:val="24"/>
        </w:rPr>
        <w:t>ly</w:t>
      </w:r>
      <w:r w:rsidR="00A63C38">
        <w:rPr>
          <w:sz w:val="24"/>
          <w:szCs w:val="24"/>
        </w:rPr>
        <w:t xml:space="preserve"> overlap</w:t>
      </w:r>
      <w:r>
        <w:rPr>
          <w:sz w:val="24"/>
          <w:szCs w:val="24"/>
        </w:rPr>
        <w:t>ped</w:t>
      </w:r>
      <w:r w:rsidR="00A63C38">
        <w:rPr>
          <w:sz w:val="24"/>
          <w:szCs w:val="24"/>
        </w:rPr>
        <w:t xml:space="preserve"> in frequency</w:t>
      </w:r>
      <w:r w:rsidR="008168C2">
        <w:rPr>
          <w:sz w:val="24"/>
          <w:szCs w:val="24"/>
        </w:rPr>
        <w:t xml:space="preserve"> domain</w:t>
      </w:r>
      <w:r w:rsidR="00A63C38">
        <w:rPr>
          <w:sz w:val="24"/>
          <w:szCs w:val="24"/>
        </w:rPr>
        <w:t xml:space="preserve">. In other words, the case where a single UE </w:t>
      </w:r>
      <w:r w:rsidR="00EB3F01">
        <w:rPr>
          <w:sz w:val="24"/>
          <w:szCs w:val="24"/>
        </w:rPr>
        <w:t xml:space="preserve">simultaneously </w:t>
      </w:r>
      <w:r w:rsidR="00A63C38">
        <w:rPr>
          <w:sz w:val="24"/>
          <w:szCs w:val="24"/>
        </w:rPr>
        <w:t>receives LTE sidelink and NR sidelink in two frequency overlapped channe</w:t>
      </w:r>
      <w:r w:rsidR="008168C2">
        <w:rPr>
          <w:sz w:val="24"/>
          <w:szCs w:val="24"/>
        </w:rPr>
        <w:t>l</w:t>
      </w:r>
      <w:r w:rsidR="00A63C38">
        <w:rPr>
          <w:sz w:val="24"/>
          <w:szCs w:val="24"/>
        </w:rPr>
        <w:t>s should also be considered. Hence, we have the following observation</w:t>
      </w:r>
      <w:r w:rsidR="008168C2">
        <w:rPr>
          <w:sz w:val="24"/>
          <w:szCs w:val="24"/>
        </w:rPr>
        <w:t xml:space="preserve"> and the corresponding draft </w:t>
      </w:r>
      <w:proofErr w:type="gramStart"/>
      <w:r w:rsidR="008168C2">
        <w:rPr>
          <w:sz w:val="24"/>
          <w:szCs w:val="24"/>
        </w:rPr>
        <w:t>reply</w:t>
      </w:r>
      <w:proofErr w:type="gramEnd"/>
      <w:r w:rsidR="008168C2">
        <w:rPr>
          <w:sz w:val="24"/>
          <w:szCs w:val="24"/>
        </w:rPr>
        <w:t xml:space="preserve"> LS on co-channel coexistence is in </w:t>
      </w:r>
      <w:r w:rsidR="008168C2">
        <w:rPr>
          <w:iCs/>
          <w:sz w:val="24"/>
          <w:szCs w:val="24"/>
          <w:lang w:eastAsia="x-none"/>
        </w:rPr>
        <w:fldChar w:fldCharType="begin"/>
      </w:r>
      <w:r w:rsidR="008168C2">
        <w:rPr>
          <w:iCs/>
          <w:sz w:val="24"/>
          <w:szCs w:val="24"/>
          <w:lang w:eastAsia="x-none"/>
        </w:rPr>
        <w:instrText xml:space="preserve"> REF _Ref126338945 \r \h </w:instrText>
      </w:r>
      <w:r w:rsidR="008168C2">
        <w:rPr>
          <w:iCs/>
          <w:sz w:val="24"/>
          <w:szCs w:val="24"/>
          <w:lang w:eastAsia="x-none"/>
        </w:rPr>
      </w:r>
      <w:r w:rsidR="008168C2">
        <w:rPr>
          <w:iCs/>
          <w:sz w:val="24"/>
          <w:szCs w:val="24"/>
          <w:lang w:eastAsia="x-none"/>
        </w:rPr>
        <w:fldChar w:fldCharType="separate"/>
      </w:r>
      <w:r w:rsidR="008168C2">
        <w:rPr>
          <w:iCs/>
          <w:sz w:val="24"/>
          <w:szCs w:val="24"/>
          <w:lang w:eastAsia="x-none"/>
        </w:rPr>
        <w:t>[2]</w:t>
      </w:r>
      <w:r w:rsidR="008168C2">
        <w:rPr>
          <w:iCs/>
          <w:sz w:val="24"/>
          <w:szCs w:val="24"/>
          <w:lang w:eastAsia="x-none"/>
        </w:rPr>
        <w:fldChar w:fldCharType="end"/>
      </w:r>
      <w:r w:rsidR="008168C2">
        <w:rPr>
          <w:iCs/>
          <w:sz w:val="24"/>
          <w:szCs w:val="24"/>
          <w:lang w:eastAsia="x-none"/>
        </w:rPr>
        <w:t>.</w:t>
      </w:r>
    </w:p>
    <w:p w14:paraId="6641FB3C" w14:textId="40CD9418" w:rsidR="00862671" w:rsidRPr="00862671" w:rsidRDefault="00A63C38" w:rsidP="008168C2">
      <w:pPr>
        <w:jc w:val="both"/>
        <w:rPr>
          <w:iCs/>
          <w:sz w:val="24"/>
          <w:szCs w:val="24"/>
          <w:lang w:eastAsia="x-none"/>
        </w:rPr>
      </w:pPr>
      <w:r w:rsidRPr="00862671">
        <w:rPr>
          <w:b/>
          <w:i/>
          <w:sz w:val="24"/>
          <w:szCs w:val="24"/>
        </w:rPr>
        <w:lastRenderedPageBreak/>
        <w:t>Observation 1:</w:t>
      </w:r>
      <w:r w:rsidRPr="00CC00E8">
        <w:rPr>
          <w:i/>
          <w:sz w:val="24"/>
          <w:szCs w:val="24"/>
          <w:lang w:eastAsia="x-none"/>
        </w:rPr>
        <w:t xml:space="preserve"> </w:t>
      </w:r>
      <w:r>
        <w:rPr>
          <w:i/>
          <w:sz w:val="24"/>
          <w:szCs w:val="24"/>
          <w:lang w:eastAsia="x-none"/>
        </w:rPr>
        <w:t xml:space="preserve">In dynamic resource pool sharing for co-channel coexistence for LTE sidelink and NR sidelink, it is possible that the frequency resources of LTE sidelink resource pool </w:t>
      </w:r>
      <w:proofErr w:type="gramStart"/>
      <w:r w:rsidR="00065258">
        <w:rPr>
          <w:i/>
          <w:sz w:val="24"/>
          <w:szCs w:val="24"/>
          <w:lang w:eastAsia="x-none"/>
        </w:rPr>
        <w:t>are</w:t>
      </w:r>
      <w:proofErr w:type="gramEnd"/>
      <w:r>
        <w:rPr>
          <w:i/>
          <w:sz w:val="24"/>
          <w:szCs w:val="24"/>
          <w:lang w:eastAsia="x-none"/>
        </w:rPr>
        <w:t xml:space="preserve"> partial</w:t>
      </w:r>
      <w:r w:rsidR="00065258">
        <w:rPr>
          <w:i/>
          <w:sz w:val="24"/>
          <w:szCs w:val="24"/>
          <w:lang w:eastAsia="x-none"/>
        </w:rPr>
        <w:t>ly</w:t>
      </w:r>
      <w:r>
        <w:rPr>
          <w:i/>
          <w:sz w:val="24"/>
          <w:szCs w:val="24"/>
          <w:lang w:eastAsia="x-none"/>
        </w:rPr>
        <w:t xml:space="preserve"> overlap</w:t>
      </w:r>
      <w:r w:rsidR="00065258">
        <w:rPr>
          <w:i/>
          <w:sz w:val="24"/>
          <w:szCs w:val="24"/>
          <w:lang w:eastAsia="x-none"/>
        </w:rPr>
        <w:t>ped</w:t>
      </w:r>
      <w:r>
        <w:rPr>
          <w:i/>
          <w:sz w:val="24"/>
          <w:szCs w:val="24"/>
          <w:lang w:eastAsia="x-none"/>
        </w:rPr>
        <w:t xml:space="preserve"> with the frequency resources of NR sidelink resource pool.</w:t>
      </w:r>
      <w:r w:rsidR="00862671">
        <w:rPr>
          <w:iCs/>
          <w:sz w:val="24"/>
          <w:szCs w:val="24"/>
          <w:lang w:eastAsia="x-none"/>
        </w:rPr>
        <w:t xml:space="preserve"> </w:t>
      </w:r>
    </w:p>
    <w:p w14:paraId="12B33CFD" w14:textId="5D34282C" w:rsidR="00390F36" w:rsidRPr="00A6576F" w:rsidRDefault="00390F36" w:rsidP="00390F36">
      <w:pPr>
        <w:pStyle w:val="Heading1"/>
      </w:pPr>
      <w:r w:rsidRPr="00A6576F">
        <w:t>Conclusion</w:t>
      </w:r>
    </w:p>
    <w:p w14:paraId="3D08BDF3" w14:textId="05ED0534" w:rsidR="00BE753A" w:rsidRPr="00BE753A" w:rsidRDefault="00BE753A" w:rsidP="00BE753A">
      <w:pPr>
        <w:jc w:val="both"/>
        <w:rPr>
          <w:sz w:val="24"/>
          <w:szCs w:val="24"/>
        </w:rPr>
      </w:pPr>
      <w:r w:rsidRPr="00BE753A">
        <w:rPr>
          <w:sz w:val="24"/>
          <w:szCs w:val="24"/>
        </w:rPr>
        <w:t xml:space="preserve">In this contribution, we provided our views on </w:t>
      </w:r>
      <w:r w:rsidR="008168C2">
        <w:rPr>
          <w:sz w:val="24"/>
          <w:szCs w:val="24"/>
        </w:rPr>
        <w:t>co-channel coexistence for LTE sidelink and NR sidelink</w:t>
      </w:r>
      <w:r w:rsidRPr="00BE753A">
        <w:rPr>
          <w:sz w:val="24"/>
          <w:szCs w:val="24"/>
        </w:rPr>
        <w:t xml:space="preserve">. Our </w:t>
      </w:r>
      <w:r w:rsidR="00862671">
        <w:rPr>
          <w:sz w:val="24"/>
          <w:szCs w:val="24"/>
        </w:rPr>
        <w:t>observation</w:t>
      </w:r>
      <w:r w:rsidR="00B956DF">
        <w:rPr>
          <w:sz w:val="24"/>
          <w:szCs w:val="24"/>
        </w:rPr>
        <w:t xml:space="preserve"> is </w:t>
      </w:r>
      <w:r w:rsidRPr="00BE753A">
        <w:rPr>
          <w:sz w:val="24"/>
          <w:szCs w:val="24"/>
        </w:rPr>
        <w:t>as follows:</w:t>
      </w:r>
    </w:p>
    <w:p w14:paraId="4BBED8A6" w14:textId="738A2D6C" w:rsidR="00EB3F01" w:rsidRPr="00862671" w:rsidRDefault="00EB3F01" w:rsidP="00EB3F01">
      <w:pPr>
        <w:jc w:val="both"/>
        <w:rPr>
          <w:iCs/>
          <w:sz w:val="24"/>
          <w:szCs w:val="24"/>
          <w:lang w:eastAsia="x-none"/>
        </w:rPr>
      </w:pPr>
      <w:r w:rsidRPr="00862671">
        <w:rPr>
          <w:b/>
          <w:i/>
          <w:sz w:val="24"/>
          <w:szCs w:val="24"/>
        </w:rPr>
        <w:t>Observation 1:</w:t>
      </w:r>
      <w:r w:rsidRPr="00CC00E8">
        <w:rPr>
          <w:i/>
          <w:sz w:val="24"/>
          <w:szCs w:val="24"/>
          <w:lang w:eastAsia="x-none"/>
        </w:rPr>
        <w:t xml:space="preserve"> </w:t>
      </w:r>
      <w:r>
        <w:rPr>
          <w:i/>
          <w:sz w:val="24"/>
          <w:szCs w:val="24"/>
          <w:lang w:eastAsia="x-none"/>
        </w:rPr>
        <w:t xml:space="preserve">In dynamic resource pool sharing for co-channel coexistence for LTE sidelink and NR sidelink, it is possible that the frequency resources of LTE sidelink resource pool </w:t>
      </w:r>
      <w:proofErr w:type="gramStart"/>
      <w:r>
        <w:rPr>
          <w:i/>
          <w:sz w:val="24"/>
          <w:szCs w:val="24"/>
          <w:lang w:eastAsia="x-none"/>
        </w:rPr>
        <w:t>are</w:t>
      </w:r>
      <w:proofErr w:type="gramEnd"/>
      <w:r>
        <w:rPr>
          <w:i/>
          <w:sz w:val="24"/>
          <w:szCs w:val="24"/>
          <w:lang w:eastAsia="x-none"/>
        </w:rPr>
        <w:t xml:space="preserve"> partially overlapped with the frequency resources of NR sidelink resource pool.</w:t>
      </w:r>
      <w:r>
        <w:rPr>
          <w:iCs/>
          <w:sz w:val="24"/>
          <w:szCs w:val="24"/>
          <w:lang w:eastAsia="x-none"/>
        </w:rPr>
        <w:t xml:space="preserve"> </w:t>
      </w:r>
    </w:p>
    <w:p w14:paraId="13BE573A" w14:textId="77777777" w:rsidR="00390F36" w:rsidRPr="00A6576F" w:rsidRDefault="00390F36" w:rsidP="00390F36">
      <w:pPr>
        <w:pStyle w:val="Heading1"/>
      </w:pPr>
      <w:r w:rsidRPr="00A6576F">
        <w:t>References</w:t>
      </w:r>
    </w:p>
    <w:p w14:paraId="192915AD" w14:textId="282919D4" w:rsidR="00F43811" w:rsidRPr="00491CC4" w:rsidRDefault="00390F36" w:rsidP="00AA539C">
      <w:pPr>
        <w:numPr>
          <w:ilvl w:val="0"/>
          <w:numId w:val="5"/>
        </w:numPr>
        <w:tabs>
          <w:tab w:val="clear" w:pos="657"/>
        </w:tabs>
        <w:spacing w:before="100" w:beforeAutospacing="1" w:after="120"/>
        <w:ind w:left="562" w:hanging="562"/>
        <w:jc w:val="both"/>
        <w:rPr>
          <w:sz w:val="24"/>
          <w:szCs w:val="24"/>
        </w:rPr>
      </w:pPr>
      <w:bookmarkStart w:id="0" w:name="_Ref59982016"/>
      <w:bookmarkStart w:id="1" w:name="_Ref78543045"/>
      <w:bookmarkStart w:id="2" w:name="_Ref49784738"/>
      <w:bookmarkStart w:id="3" w:name="_Ref29545847"/>
      <w:r w:rsidRPr="002C3195">
        <w:rPr>
          <w:sz w:val="24"/>
          <w:szCs w:val="24"/>
        </w:rPr>
        <w:t>R</w:t>
      </w:r>
      <w:r w:rsidR="00AA539C">
        <w:rPr>
          <w:sz w:val="24"/>
          <w:szCs w:val="24"/>
        </w:rPr>
        <w:t>4</w:t>
      </w:r>
      <w:r w:rsidRPr="002C3195">
        <w:rPr>
          <w:sz w:val="24"/>
          <w:szCs w:val="24"/>
        </w:rPr>
        <w:t>-2</w:t>
      </w:r>
      <w:r w:rsidR="00B956DF">
        <w:rPr>
          <w:sz w:val="24"/>
          <w:szCs w:val="24"/>
        </w:rPr>
        <w:t>3</w:t>
      </w:r>
      <w:r w:rsidR="006D5148">
        <w:rPr>
          <w:sz w:val="24"/>
          <w:szCs w:val="24"/>
        </w:rPr>
        <w:t>0</w:t>
      </w:r>
      <w:r w:rsidR="00AA539C">
        <w:rPr>
          <w:sz w:val="24"/>
          <w:szCs w:val="24"/>
        </w:rPr>
        <w:t>3718</w:t>
      </w:r>
      <w:r w:rsidRPr="002C3195">
        <w:rPr>
          <w:sz w:val="24"/>
          <w:szCs w:val="24"/>
        </w:rPr>
        <w:t>, “</w:t>
      </w:r>
      <w:bookmarkStart w:id="4" w:name="_Hlk506457506"/>
      <w:bookmarkStart w:id="5" w:name="_Hlk42070541"/>
      <w:r w:rsidRPr="002C3195">
        <w:rPr>
          <w:sz w:val="24"/>
          <w:szCs w:val="24"/>
        </w:rPr>
        <w:t xml:space="preserve">LS </w:t>
      </w:r>
      <w:r w:rsidR="00B956DF">
        <w:rPr>
          <w:sz w:val="24"/>
          <w:szCs w:val="24"/>
        </w:rPr>
        <w:t xml:space="preserve">to </w:t>
      </w:r>
      <w:r w:rsidR="006D5148">
        <w:rPr>
          <w:sz w:val="24"/>
          <w:szCs w:val="24"/>
        </w:rPr>
        <w:t>co</w:t>
      </w:r>
      <w:r w:rsidR="00AA539C">
        <w:rPr>
          <w:sz w:val="24"/>
          <w:szCs w:val="24"/>
        </w:rPr>
        <w:t>-channel coexistence</w:t>
      </w:r>
      <w:bookmarkEnd w:id="0"/>
      <w:bookmarkEnd w:id="4"/>
      <w:bookmarkEnd w:id="5"/>
      <w:r w:rsidRPr="002C3195">
        <w:rPr>
          <w:sz w:val="24"/>
          <w:szCs w:val="24"/>
        </w:rPr>
        <w:t xml:space="preserve">,” </w:t>
      </w:r>
      <w:r w:rsidR="006D5148">
        <w:rPr>
          <w:sz w:val="24"/>
          <w:szCs w:val="24"/>
        </w:rPr>
        <w:t>Mar</w:t>
      </w:r>
      <w:r w:rsidR="00B956DF">
        <w:rPr>
          <w:sz w:val="24"/>
          <w:szCs w:val="24"/>
        </w:rPr>
        <w:t>.</w:t>
      </w:r>
      <w:r w:rsidRPr="002C3195">
        <w:rPr>
          <w:sz w:val="24"/>
          <w:szCs w:val="24"/>
        </w:rPr>
        <w:t xml:space="preserve"> 202</w:t>
      </w:r>
      <w:r w:rsidR="006D5148">
        <w:rPr>
          <w:sz w:val="24"/>
          <w:szCs w:val="24"/>
        </w:rPr>
        <w:t>3</w:t>
      </w:r>
      <w:r w:rsidRPr="002C3195">
        <w:rPr>
          <w:sz w:val="24"/>
          <w:szCs w:val="24"/>
        </w:rPr>
        <w:t>.</w:t>
      </w:r>
      <w:bookmarkEnd w:id="1"/>
      <w:r w:rsidRPr="002C3195">
        <w:rPr>
          <w:sz w:val="24"/>
          <w:szCs w:val="24"/>
        </w:rPr>
        <w:t xml:space="preserve"> </w:t>
      </w:r>
      <w:bookmarkStart w:id="6" w:name="_Ref126161714"/>
      <w:bookmarkStart w:id="7" w:name="_Ref125995259"/>
      <w:bookmarkEnd w:id="2"/>
      <w:bookmarkEnd w:id="3"/>
    </w:p>
    <w:p w14:paraId="70FA3699" w14:textId="3756EE9B" w:rsidR="00AD4347" w:rsidRPr="00E71212" w:rsidRDefault="00862671" w:rsidP="00AD4347">
      <w:pPr>
        <w:numPr>
          <w:ilvl w:val="0"/>
          <w:numId w:val="5"/>
        </w:numPr>
        <w:tabs>
          <w:tab w:val="clear" w:pos="657"/>
        </w:tabs>
        <w:spacing w:before="100" w:beforeAutospacing="1" w:after="120"/>
        <w:ind w:left="562" w:hanging="562"/>
        <w:jc w:val="both"/>
        <w:rPr>
          <w:sz w:val="24"/>
          <w:szCs w:val="24"/>
        </w:rPr>
      </w:pPr>
      <w:bookmarkStart w:id="8" w:name="_Ref126338945"/>
      <w:bookmarkEnd w:id="6"/>
      <w:r w:rsidRPr="00E71212">
        <w:rPr>
          <w:sz w:val="24"/>
          <w:szCs w:val="24"/>
        </w:rPr>
        <w:t>R1-230</w:t>
      </w:r>
      <w:r w:rsidR="00E71212" w:rsidRPr="00E71212">
        <w:rPr>
          <w:sz w:val="24"/>
          <w:szCs w:val="24"/>
        </w:rPr>
        <w:t>3464</w:t>
      </w:r>
      <w:r w:rsidRPr="00E71212">
        <w:rPr>
          <w:sz w:val="24"/>
          <w:szCs w:val="24"/>
        </w:rPr>
        <w:t>, “</w:t>
      </w:r>
      <w:r w:rsidR="006D5148" w:rsidRPr="00E71212">
        <w:rPr>
          <w:sz w:val="24"/>
          <w:szCs w:val="24"/>
        </w:rPr>
        <w:t xml:space="preserve">Draft </w:t>
      </w:r>
      <w:proofErr w:type="gramStart"/>
      <w:r w:rsidR="006D5148" w:rsidRPr="00E71212">
        <w:rPr>
          <w:sz w:val="24"/>
          <w:szCs w:val="24"/>
        </w:rPr>
        <w:t>reply</w:t>
      </w:r>
      <w:proofErr w:type="gramEnd"/>
      <w:r w:rsidR="006D5148" w:rsidRPr="00E71212">
        <w:rPr>
          <w:sz w:val="24"/>
          <w:szCs w:val="24"/>
        </w:rPr>
        <w:t xml:space="preserve"> LS to RAN</w:t>
      </w:r>
      <w:r w:rsidR="00AA539C" w:rsidRPr="00E71212">
        <w:rPr>
          <w:sz w:val="24"/>
          <w:szCs w:val="24"/>
        </w:rPr>
        <w:t>4</w:t>
      </w:r>
      <w:r w:rsidR="006D5148" w:rsidRPr="00E71212">
        <w:rPr>
          <w:sz w:val="24"/>
          <w:szCs w:val="24"/>
        </w:rPr>
        <w:t xml:space="preserve"> on </w:t>
      </w:r>
      <w:r w:rsidR="00AA539C" w:rsidRPr="00E71212">
        <w:rPr>
          <w:sz w:val="24"/>
          <w:szCs w:val="24"/>
        </w:rPr>
        <w:t>co-channel coexistence</w:t>
      </w:r>
      <w:r w:rsidRPr="00E71212">
        <w:rPr>
          <w:sz w:val="24"/>
          <w:szCs w:val="24"/>
        </w:rPr>
        <w:t xml:space="preserve">,” </w:t>
      </w:r>
      <w:r w:rsidR="006D5148" w:rsidRPr="00E71212">
        <w:rPr>
          <w:sz w:val="24"/>
          <w:szCs w:val="24"/>
        </w:rPr>
        <w:t>Apr</w:t>
      </w:r>
      <w:r w:rsidRPr="00E71212">
        <w:rPr>
          <w:sz w:val="24"/>
          <w:szCs w:val="24"/>
        </w:rPr>
        <w:t>. 2023.</w:t>
      </w:r>
      <w:bookmarkEnd w:id="7"/>
      <w:bookmarkEnd w:id="8"/>
    </w:p>
    <w:p w14:paraId="7B62924C" w14:textId="77777777" w:rsidR="006D5148" w:rsidRPr="00A365D9" w:rsidRDefault="006D5148" w:rsidP="006D5148">
      <w:pPr>
        <w:spacing w:before="100" w:beforeAutospacing="1" w:after="120"/>
        <w:jc w:val="both"/>
        <w:rPr>
          <w:sz w:val="24"/>
          <w:szCs w:val="24"/>
        </w:rPr>
      </w:pPr>
    </w:p>
    <w:sectPr w:rsidR="006D5148" w:rsidRPr="00A365D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4BEF9" w14:textId="77777777" w:rsidR="00DA4B53" w:rsidRDefault="00DA4B53">
      <w:r>
        <w:separator/>
      </w:r>
    </w:p>
  </w:endnote>
  <w:endnote w:type="continuationSeparator" w:id="0">
    <w:p w14:paraId="67B8B7D9" w14:textId="77777777" w:rsidR="00DA4B53" w:rsidRDefault="00DA4B53">
      <w:r>
        <w:continuationSeparator/>
      </w:r>
    </w:p>
  </w:endnote>
  <w:endnote w:type="continuationNotice" w:id="1">
    <w:p w14:paraId="121C861A" w14:textId="77777777" w:rsidR="00DA4B53" w:rsidRDefault="00DA4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D2430" w14:textId="77777777" w:rsidR="00DA4B53" w:rsidRDefault="00DA4B53">
      <w:r>
        <w:separator/>
      </w:r>
    </w:p>
  </w:footnote>
  <w:footnote w:type="continuationSeparator" w:id="0">
    <w:p w14:paraId="11C54DBC" w14:textId="77777777" w:rsidR="00DA4B53" w:rsidRDefault="00DA4B53">
      <w:r>
        <w:continuationSeparator/>
      </w:r>
    </w:p>
  </w:footnote>
  <w:footnote w:type="continuationNotice" w:id="1">
    <w:p w14:paraId="1B4A50D2" w14:textId="77777777" w:rsidR="00DA4B53" w:rsidRDefault="00DA4B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9118335">
    <w:abstractNumId w:val="7"/>
  </w:num>
  <w:num w:numId="2" w16cid:durableId="1798985130">
    <w:abstractNumId w:val="8"/>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12"/>
  </w:num>
  <w:num w:numId="8" w16cid:durableId="138037242">
    <w:abstractNumId w:val="10"/>
  </w:num>
  <w:num w:numId="9" w16cid:durableId="399445388">
    <w:abstractNumId w:val="14"/>
  </w:num>
  <w:num w:numId="10" w16cid:durableId="134227536">
    <w:abstractNumId w:val="5"/>
  </w:num>
  <w:num w:numId="11" w16cid:durableId="2171293">
    <w:abstractNumId w:val="9"/>
  </w:num>
  <w:num w:numId="12" w16cid:durableId="490175065">
    <w:abstractNumId w:val="17"/>
  </w:num>
  <w:num w:numId="13" w16cid:durableId="717704263">
    <w:abstractNumId w:val="6"/>
  </w:num>
  <w:num w:numId="14" w16cid:durableId="419257155">
    <w:abstractNumId w:val="11"/>
  </w:num>
  <w:num w:numId="15" w16cid:durableId="1101293150">
    <w:abstractNumId w:val="15"/>
  </w:num>
  <w:num w:numId="16" w16cid:durableId="929386166">
    <w:abstractNumId w:val="16"/>
  </w:num>
  <w:num w:numId="17" w16cid:durableId="1872182528">
    <w:abstractNumId w:val="4"/>
  </w:num>
  <w:num w:numId="18" w16cid:durableId="198491966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5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4B6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2A8"/>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D98"/>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195"/>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0B7B"/>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58C5"/>
    <w:rsid w:val="006C6798"/>
    <w:rsid w:val="006C6DF7"/>
    <w:rsid w:val="006C792E"/>
    <w:rsid w:val="006D0826"/>
    <w:rsid w:val="006D0C12"/>
    <w:rsid w:val="006D0E6B"/>
    <w:rsid w:val="006D2146"/>
    <w:rsid w:val="006D5148"/>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AA6"/>
    <w:rsid w:val="0071705B"/>
    <w:rsid w:val="00720505"/>
    <w:rsid w:val="0072232D"/>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07A29"/>
    <w:rsid w:val="008100AC"/>
    <w:rsid w:val="00810C05"/>
    <w:rsid w:val="0081151E"/>
    <w:rsid w:val="00811A5F"/>
    <w:rsid w:val="00812498"/>
    <w:rsid w:val="008127E6"/>
    <w:rsid w:val="0081336E"/>
    <w:rsid w:val="00813928"/>
    <w:rsid w:val="008154EC"/>
    <w:rsid w:val="008168C2"/>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92A"/>
    <w:rsid w:val="008D4B58"/>
    <w:rsid w:val="008D4B7F"/>
    <w:rsid w:val="008D4B8A"/>
    <w:rsid w:val="008D546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3C38"/>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39C"/>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5114"/>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478E1"/>
    <w:rsid w:val="00B50063"/>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53A"/>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10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B53"/>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8A3"/>
    <w:rsid w:val="00DE1904"/>
    <w:rsid w:val="00DE1DAA"/>
    <w:rsid w:val="00DE28BA"/>
    <w:rsid w:val="00DE3DBB"/>
    <w:rsid w:val="00DE43A2"/>
    <w:rsid w:val="00DE4A74"/>
    <w:rsid w:val="00DE4B05"/>
    <w:rsid w:val="00DE4EE9"/>
    <w:rsid w:val="00DE541C"/>
    <w:rsid w:val="00DE737B"/>
    <w:rsid w:val="00DF100B"/>
    <w:rsid w:val="00DF11B7"/>
    <w:rsid w:val="00DF2116"/>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1212"/>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3F01"/>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1687"/>
    <w:rsid w:val="00EE2A61"/>
    <w:rsid w:val="00EE3663"/>
    <w:rsid w:val="00EE41C4"/>
    <w:rsid w:val="00EE58C9"/>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3811"/>
    <w:rsid w:val="00F45693"/>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4AB"/>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2023-04-06T19:21:00Z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